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9C7C47" w:rsidRPr="009C7C47" w:rsidRDefault="009C7C47" w:rsidP="009C7C4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9C7C47">
        <w:rPr>
          <w:rFonts w:eastAsia="Calibri"/>
          <w:b/>
          <w:szCs w:val="24"/>
          <w:lang w:eastAsia="en-US"/>
        </w:rPr>
        <w:t>ТЕХНИЧЕСКОЕ ЗАДАНИЕ</w:t>
      </w:r>
    </w:p>
    <w:p w:rsidR="009C7C47" w:rsidRPr="009C7C47" w:rsidRDefault="009C7C47" w:rsidP="009C7C47">
      <w:pPr>
        <w:tabs>
          <w:tab w:val="clear" w:pos="1134"/>
          <w:tab w:val="left" w:pos="3810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</w:p>
    <w:p w:rsidR="009C7C47" w:rsidRPr="009C7C47" w:rsidRDefault="009C7C47" w:rsidP="009C7C4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9C7C47">
        <w:rPr>
          <w:rFonts w:eastAsia="Calibri"/>
          <w:b/>
          <w:szCs w:val="24"/>
          <w:lang w:eastAsia="en-US"/>
        </w:rPr>
        <w:t>на оказания услуг по разработки плана по предупреждению и ликвидации аварийных разливов нефти и нефтепродуктов ЗАО «Топливо-заправочный сервис».</w:t>
      </w:r>
    </w:p>
    <w:tbl>
      <w:tblPr>
        <w:tblStyle w:val="1"/>
        <w:tblW w:w="10200" w:type="dxa"/>
        <w:jc w:val="right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3261"/>
        <w:gridCol w:w="6235"/>
      </w:tblGrid>
      <w:tr w:rsidR="009C7C47" w:rsidRPr="009C7C47" w:rsidTr="009C7C47">
        <w:trPr>
          <w:trHeight w:val="983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47" w:rsidRPr="009C7C47" w:rsidRDefault="009C7C47" w:rsidP="009C7C47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Адрес место оказания услуг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numPr>
                <w:ilvl w:val="0"/>
                <w:numId w:val="1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317" w:hanging="284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 2,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9C7C47">
              <w:rPr>
                <w:rFonts w:eastAsia="Calibri"/>
                <w:i/>
                <w:sz w:val="20"/>
                <w:szCs w:val="20"/>
                <w:lang w:eastAsia="en-US"/>
              </w:rPr>
              <w:t>С</w:t>
            </w:r>
            <w:r w:rsidRPr="009C7C47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клад горюче-смазочных материалов (ГСМ-1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);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Объект авиационной инфраструктуры, категорированных объектов транспортной инфраструктуры </w:t>
            </w:r>
            <w:r w:rsidRPr="009C7C47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категории, реестр №ОИН0000455.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А01-12025-0002, </w:t>
            </w:r>
            <w:r w:rsidRPr="009C7C47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 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2.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г. Москва, Заводское шоссе, д. 16,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9C7C47">
              <w:rPr>
                <w:rFonts w:eastAsia="Calibri"/>
                <w:b/>
                <w:i/>
                <w:sz w:val="20"/>
                <w:szCs w:val="20"/>
                <w:lang w:eastAsia="en-US"/>
              </w:rPr>
              <w:t>Склад горюче-смазочных материалов (ГСМ-2)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Объект авиационной инфраструктуры, категорированных объектов транспортной инфраструктуры – </w:t>
            </w:r>
            <w:r w:rsidRPr="009C7C47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категории, реестр № ОИН0000456. 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А01-12025-0003, </w:t>
            </w:r>
            <w:r w:rsidRPr="009C7C47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3.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г. Москва, АО «Международный аэропорт «Внуково» техническая зона.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3" w:hanging="4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9C7C47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Группа резервуаров и сливо наливных устройств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C7C47">
              <w:rPr>
                <w:rFonts w:eastAsia="Calibri"/>
                <w:i/>
                <w:sz w:val="20"/>
                <w:szCs w:val="20"/>
                <w:lang w:eastAsia="en-US"/>
              </w:rPr>
              <w:t>(пункт предперонного налива (ППН))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А01-12025-0004, </w:t>
            </w:r>
            <w:r w:rsidRPr="009C7C47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Федерации).</w:t>
            </w:r>
          </w:p>
        </w:tc>
      </w:tr>
      <w:tr w:rsidR="009C7C47" w:rsidRPr="009C7C47" w:rsidTr="009C7C47">
        <w:trPr>
          <w:trHeight w:val="212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9C7C47" w:rsidRPr="009C7C47" w:rsidTr="009C7C4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  <w:tab w:val="left" w:pos="202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 xml:space="preserve">3.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9C7C47" w:rsidRPr="009C7C47" w:rsidTr="009C7C4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bCs/>
                <w:color w:val="000000"/>
                <w:sz w:val="20"/>
                <w:szCs w:val="20"/>
                <w:shd w:val="clear" w:color="auto" w:fill="FFFFFF"/>
                <w:lang w:bidi="ru-RU"/>
              </w:rPr>
              <w:t>Цель работы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pacing w:val="-5"/>
                <w:sz w:val="20"/>
                <w:szCs w:val="20"/>
                <w:lang w:eastAsia="en-US"/>
              </w:rPr>
              <w:t>- Переработать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ПЛАРН </w:t>
            </w:r>
            <w:r w:rsidRPr="009C7C47">
              <w:rPr>
                <w:rFonts w:eastAsia="Calibri"/>
                <w:b/>
                <w:i/>
                <w:sz w:val="20"/>
                <w:szCs w:val="20"/>
                <w:lang w:eastAsia="en-US"/>
              </w:rPr>
              <w:t>регионального уровня</w:t>
            </w:r>
            <w:r w:rsidRPr="009C7C47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в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связи с</w:t>
            </w:r>
            <w:r w:rsidRPr="009C7C47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окончанием срока его действия.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Провести сбор и обработку исходных данных для выполнения задач планирования мероприятий по предупреждению и ликвидации чрезвычайных ситуаций обусловленных разливами нефтепродуктов на объектах ОПО ЗАО «ТЗС».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Согласовать ПЛАРН для объектов ОПО ЗАО «ТЗС» </w:t>
            </w:r>
            <w:r w:rsidRPr="009C7C47">
              <w:rPr>
                <w:rFonts w:eastAsia="Calibri"/>
                <w:color w:val="000000"/>
                <w:spacing w:val="-5"/>
                <w:sz w:val="20"/>
                <w:szCs w:val="20"/>
                <w:lang w:eastAsia="en-US"/>
              </w:rPr>
              <w:t xml:space="preserve">в соответствии с «Правилами разработки и согласования Планов по предупреждению и ликвидации разливов нефти и нефтепродуктов на территории Российской Федерации», утвержденных приказом МЧС 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России</w:t>
            </w:r>
            <w:r w:rsidRPr="009C7C47">
              <w:rPr>
                <w:rFonts w:eastAsia="Calibri"/>
                <w:color w:val="000000"/>
                <w:spacing w:val="-5"/>
                <w:sz w:val="20"/>
                <w:szCs w:val="20"/>
                <w:lang w:eastAsia="en-US"/>
              </w:rPr>
              <w:t xml:space="preserve"> от 28.12.2004 № 621.</w:t>
            </w:r>
          </w:p>
        </w:tc>
      </w:tr>
      <w:tr w:rsidR="009C7C47" w:rsidRPr="009C7C47" w:rsidTr="009C7C4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Исполнитель работ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z w:val="20"/>
                <w:szCs w:val="20"/>
                <w:lang w:bidi="ru-RU"/>
              </w:rPr>
              <w:t>Определяется результатами тендерных торгов.</w:t>
            </w:r>
          </w:p>
        </w:tc>
      </w:tr>
      <w:tr w:rsidR="009C7C47" w:rsidRPr="009C7C47" w:rsidTr="009C7C47">
        <w:trPr>
          <w:trHeight w:val="283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Срок выполнения работ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календарных дней с даты подписания договора.</w:t>
            </w:r>
          </w:p>
        </w:tc>
      </w:tr>
      <w:tr w:rsidR="009C7C47" w:rsidRPr="009C7C47" w:rsidTr="009C7C47">
        <w:trPr>
          <w:trHeight w:val="3675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-57" w:hanging="11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исполнителю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9C7C47">
              <w:rPr>
                <w:b/>
                <w:sz w:val="20"/>
                <w:szCs w:val="20"/>
              </w:rPr>
              <w:t>Специалисты</w:t>
            </w:r>
            <w:r w:rsidRPr="009C7C47">
              <w:rPr>
                <w:sz w:val="20"/>
                <w:szCs w:val="20"/>
              </w:rPr>
              <w:t xml:space="preserve"> должны иметь опыт разработки планов на объектах ОПО нефтепродуктообеспечения в области разработки планов по предупреждению и ликвидации аварийных разливов нефти и нефтепродуктов не менее 3 лет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Исполнитель </w:t>
            </w:r>
            <w:r w:rsidRPr="009C7C47">
              <w:rPr>
                <w:sz w:val="20"/>
                <w:szCs w:val="20"/>
              </w:rPr>
              <w:t>должен иметь квалифицированных и дипломированных специалистов, аттестованных в области анализа риска аварий на опасных производственных объектах, а также опыт работы по защите населения и территорий от чрезвычайных ситуаций и гражданской обороне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Документы представляются на этапе выставления коммерческого предложения.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Обязательный выезд исполнителя для самостоятельного сбора и анализа исходных данных на объекты ЗАО «ТЗС» для которых разрабатывается ПЛАРН.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Осуществление сопровождения документов при согласовании ПЛАРН в контрольных и надзорных органах, согласно требованиям нормативных документов по уровню ПЛАРН.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Обеспечение соблюдения своим персоналом требований охраны труда, пожарной и промышленной безопасности, предъявляемым на объектах Заказчика.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Работы на объекте проводятся под контролем (в сопровождении) представителя службы главного инженера заказчика.</w:t>
            </w:r>
          </w:p>
        </w:tc>
      </w:tr>
      <w:tr w:rsidR="009C7C47" w:rsidRPr="009C7C47" w:rsidTr="009C7C47">
        <w:trPr>
          <w:trHeight w:val="1116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8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выполнению работ и пропускному режиму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Cs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Cs/>
                <w:sz w:val="20"/>
                <w:szCs w:val="20"/>
                <w:lang w:eastAsia="en-US"/>
              </w:rPr>
              <w:t>- При проведении работ должны быть соблюдены все требования нормативных документов по пожарной, промышленной, экологической безопасности и охране труда;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111111"/>
                <w:sz w:val="20"/>
                <w:szCs w:val="20"/>
                <w:shd w:val="clear" w:color="auto" w:fill="FDFDFD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9C7C47">
              <w:rPr>
                <w:rFonts w:eastAsia="Calibri"/>
                <w:b/>
                <w:bCs/>
                <w:i/>
                <w:iCs/>
                <w:sz w:val="20"/>
                <w:szCs w:val="20"/>
                <w:lang w:eastAsia="en-US"/>
              </w:rPr>
              <w:t>Постановление Правительства от 28.07.2018 № 886.</w:t>
            </w:r>
            <w:r w:rsidRPr="009C7C47">
              <w:rPr>
                <w:sz w:val="20"/>
                <w:szCs w:val="20"/>
                <w:shd w:val="clear" w:color="auto" w:fill="FDFDFD"/>
              </w:rPr>
              <w:t xml:space="preserve"> </w:t>
            </w:r>
            <w:r w:rsidRPr="009C7C47">
              <w:rPr>
                <w:color w:val="111111"/>
                <w:sz w:val="20"/>
                <w:szCs w:val="20"/>
                <w:shd w:val="clear" w:color="auto" w:fill="FDFDFD"/>
              </w:rPr>
              <w:t>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color w:val="111111"/>
                <w:sz w:val="20"/>
                <w:szCs w:val="20"/>
                <w:shd w:val="clear" w:color="auto" w:fill="FDFDFD"/>
              </w:rPr>
              <w:t xml:space="preserve">- 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Ответственность за оформление пропусков на территорию АО «Международный аэропорт «Внуково» несет подрядчик. 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Оформление пропусков подрядным организациям для прохода на территорию, а/п «Внуково» (техническая зона - ППН), осуществляется Исполнителем самостоятельно. 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Требования по оформлению пропусков необходимо уточнить по телефону </w:t>
            </w: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8 (495) 436-21-02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(до момента подачи заявки для участия в тендере).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Пропуска оформляются в едином окне по адресу: пос. Внуково, ул. Центральная д. 2 (1 этаж, здание бывшей гостиницы) с 8-30 до 13-00.  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111111"/>
                <w:sz w:val="20"/>
                <w:szCs w:val="20"/>
                <w:shd w:val="clear" w:color="auto" w:fill="FDFDFD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Исполнитель обязан подать заявку на оформление пропусков в течение 5 календарных дней со дня подписания договора.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9C7C47" w:rsidRPr="009C7C47" w:rsidTr="009C7C47">
        <w:trPr>
          <w:trHeight w:val="516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Требования по вариантной проработке и формированию ОТР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Выполнить согласование ПЛАРН со службой главного инженера Заказчика.</w:t>
            </w:r>
          </w:p>
        </w:tc>
      </w:tr>
      <w:tr w:rsidR="009C7C47" w:rsidRPr="009C7C47" w:rsidTr="009C7C47">
        <w:trPr>
          <w:trHeight w:val="5242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оказанию услуг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widowControl w:val="0"/>
              <w:numPr>
                <w:ilvl w:val="0"/>
                <w:numId w:val="1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Структура и содержание планов по предупреждению и ликвидации разливов нефтепродуктов должны основываться на полном соответствии действующим на территории Российской Федерации нормативно-правовым актам и нормативно-технической документации в области ГО ЧС, охраны окружающей среды, промышленной безопасности. </w:t>
            </w:r>
          </w:p>
          <w:p w:rsidR="009C7C47" w:rsidRPr="009C7C47" w:rsidRDefault="009C7C47" w:rsidP="009C7C47">
            <w:pPr>
              <w:widowControl w:val="0"/>
              <w:numPr>
                <w:ilvl w:val="0"/>
                <w:numId w:val="1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ПЛАРН должны быть выполнены с соблюдением требований законодательства, в том числе: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Федерального закона Российской Федерации от 21.12.1994 № 68-ФЗ «О защите населении и территорий от чрезвычайных ситуаций природного и техногенного характера».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4" w:right="5" w:hanging="3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Федерального закона Российской Федерации от 21.07.1997 N 116-ФЗ «О промышленной безопасности опасных производственных объектов».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4"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Федерального закона от 10.01.2002 № 7-ФЗ «Об охране окружающей среды»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4"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Постановления Правительства от 21.08.2000 г. № 613 «О неотложных мерах по предупреждению и ликвидации аварийных разливов нефти и нефтепродуктов».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4"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Постановление Правительства РФ от 15.04.2002 г. № 240 «О порядке организации мероприятий по предупреждению и ликвидации разливов нефти и нефтепродуктов на территории Российской Федерации».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4"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Постановления Правительства РФ от 21.05.2007 г. № 304 «О классификации чрезвычайных ситуаций природного и техногенного характера».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4"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Постановления Правительства РФ от 30.12.2003 г. № 794 «О единой государственной системе предупреждения и ликвидации чрезвычайных ситуаций».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  <w:tab w:val="left" w:pos="515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 Приказ МЧС РФ от 28.12.2004 г. № 621 (с изменениями на 12 сентября 2012 года) «Об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Федерации»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40"/>
              <w:ind w:left="34"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Приказа Ростехнадзора от 11 марта 2013 года 96 ФНП «Общие правила взрывобезопасности для взрывопожароопасных химических, нефтехимических и нефтеперерабатывающих производств»</w:t>
            </w:r>
            <w:r w:rsidRPr="009C7C47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6F0C6E73" wp14:editId="47FDB5A5">
                  <wp:extent cx="28575" cy="38100"/>
                  <wp:effectExtent l="0" t="0" r="9525" b="0"/>
                  <wp:docPr id="1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3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4"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Приказа МЧС от 28.02.2003 г. № 105 «Об утверждении Требований по предупреждению чрезвычайных ситуаций на потенциально опасных объектах и объектах жизнеобеспечения».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4" w:right="5" w:hanging="34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Приказа МПР России от 03.03.2003 г. № 156 «Об утверждении указаний по определению нижнего уровня разлива нефти и нефтепродуктов для отнесения аварийного разлива к чрезвычайной ситуации».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45"/>
              <w:ind w:right="5" w:firstLine="0"/>
              <w:jc w:val="left"/>
              <w:rPr>
                <w:bCs/>
                <w:sz w:val="20"/>
                <w:szCs w:val="20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Приказа МПР России от 12 сентября 2002 года № 574 «Об утверждении Временных рекомендаций по разработке и введению в действие нормативов допустимого остаточного содержания нефти и продуктов ее трансформации в почвах после проведения рекультивационных и иных восстановительных работ».</w:t>
            </w:r>
          </w:p>
        </w:tc>
      </w:tr>
      <w:tr w:rsidR="009C7C47" w:rsidRPr="009C7C47" w:rsidTr="009C7C47">
        <w:trPr>
          <w:trHeight w:val="557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этапам проведения работ.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45"/>
              <w:ind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Этапы проведения работ: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45"/>
              <w:ind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1.Провести сбор и обработку исходных данных для выполнения задач планирования мероприятий по предупреждению и ликвидации чрезвычайных ситуаций, обусловленных разливами нефтепродуктов на объектах ЗАО «ТЗС».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45"/>
              <w:ind w:right="5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2. Разработать план по предупреждению и ликвидации разливов нефтепродуктов на объектах ЗАО «ТЗС».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ind w:firstLine="0"/>
              <w:jc w:val="left"/>
              <w:rPr>
                <w:rFonts w:eastAsia="Calibri"/>
                <w:color w:val="2B4279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З. Согласовать и сопроводить план по предупреждению и ликвидации разливов нефтепродуктов на объектах ЗАО «ТСЗ» </w:t>
            </w: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в МЧС г. Москва, в администрации г. Москва, в Министерстве природных ресурсов,</w:t>
            </w:r>
            <w:r w:rsidRPr="009C7C47">
              <w:rPr>
                <w:rFonts w:eastAsia="Calibri"/>
                <w:color w:val="2B4279"/>
                <w:sz w:val="20"/>
                <w:szCs w:val="20"/>
                <w:lang w:eastAsia="en-US"/>
              </w:rPr>
              <w:t xml:space="preserve"> </w:t>
            </w: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в 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Министерстве энергетики РФ согласно требованиям нормативных документов.</w:t>
            </w:r>
          </w:p>
        </w:tc>
      </w:tr>
      <w:tr w:rsidR="009C7C47" w:rsidRPr="009C7C47" w:rsidTr="009C7C4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13" w:hanging="331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Материалы, представляемые Заказчиком после заключения договора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 xml:space="preserve"> Документация:</w:t>
            </w:r>
          </w:p>
          <w:p w:rsidR="009C7C47" w:rsidRPr="009C7C47" w:rsidRDefault="009C7C47" w:rsidP="009C7C47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Последний (предыдущий) ПЛАРН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Копия приказа о создании объектового звена на ОПО   (Постановление794), содержащий состав КЧС и ОПБ, сил и средств объекта (Приказ о создании НАСФ).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- Копии приказов о создании финансовых и материальных резервов.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(П.794)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- Договор с АСФ, паспорт АСФ и оснащение, Свидетельство АСФ;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Состав и характеристика ОПО.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Схема размещения объекта (местоположение). </w:t>
            </w: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Копия генерального и ситуационного плана объекта.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6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- Состав и характеристики оборудования ОПО, технологические схемы функционирования оборудования; паспорта на агрегаты (краткая характеристика проекта и назначения объекта экспертизы из Экспертизы промышленной безопасности документации на проект технологической части); данные о количестве опасных веществ, обращаемых на производстве)</w:t>
            </w:r>
            <w:bookmarkStart w:id="2" w:name="bssPhr53"/>
            <w:bookmarkStart w:id="3" w:name="ZAP350U3T7"/>
            <w:bookmarkStart w:id="4" w:name="XA00M2S2MD"/>
            <w:bookmarkStart w:id="5" w:name="bssPhr52"/>
            <w:bookmarkStart w:id="6" w:name="ZAP2LBG3HQ"/>
            <w:bookmarkStart w:id="7" w:name="XA00MBO2NG"/>
            <w:bookmarkStart w:id="8" w:name="ZAP2FSU3G9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- Свидетельство о регистрации ОПО (№ гос. реестра);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Схема связи и схема оповещения при ЧС (Утвержденная);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Состав руководящего и рабочего персонала и их должностные обязанности участвующие при ликвидации ЧС.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Копия полиса гражданской ответственности.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- Характеристики аварийности</w:t>
            </w:r>
            <w:bookmarkStart w:id="9" w:name="ZAP23OU3FQ"/>
            <w:bookmarkEnd w:id="9"/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(статистика аварий и инцидентов) 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зарегистрированных на данном ОПО (или на аналогичных).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Копия договора по вывозу и утилизации отходов.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Договор с ПЧ по обеспечению пожарной безопасности (если есть).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Список организаций и должностных лиц (без фамилий) с телефонами, которым доводится информация о ЧС.</w:t>
            </w:r>
          </w:p>
          <w:p w:rsidR="009C7C47" w:rsidRPr="009C7C47" w:rsidRDefault="009C7C47" w:rsidP="009C7C47">
            <w:pPr>
              <w:numPr>
                <w:ilvl w:val="2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3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- Копии договоров с привлекаемыми силами и средствами, используемых для локализации и ликвидации последствий аварий на объекте.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3" w:hanging="425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19.  - Мероприятия, направленные на обеспечение безопасности населения;</w:t>
            </w:r>
            <w:bookmarkStart w:id="10" w:name="bssPhr40"/>
            <w:bookmarkStart w:id="11" w:name="ZAP2U103Q8"/>
            <w:bookmarkStart w:id="12" w:name="XA00M9I2N5"/>
            <w:bookmarkEnd w:id="10"/>
            <w:bookmarkEnd w:id="11"/>
            <w:bookmarkEnd w:id="12"/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3" w:hanging="425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20.  - Сведения о наличии собственных сил и средств;</w:t>
            </w:r>
            <w:bookmarkStart w:id="13" w:name="bssPhr42"/>
            <w:bookmarkStart w:id="14" w:name="ZAP22IG3CI"/>
            <w:bookmarkStart w:id="15" w:name="XA00MAM2NB"/>
            <w:bookmarkStart w:id="16" w:name="bssPhr41"/>
            <w:bookmarkStart w:id="17" w:name="ZAP2EN63EJ"/>
            <w:bookmarkStart w:id="18" w:name="XA00MA42N8"/>
            <w:bookmarkStart w:id="19" w:name="ZAP298K3D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3" w:hanging="425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21.  - </w:t>
            </w: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Порядок обеспечения постоянной готовности сил и средств к локализации и ликвидации последствий аварий на объекте (график тренировок, учений</w:t>
            </w:r>
            <w:bookmarkStart w:id="20" w:name="ZAP1VSK3D4"/>
            <w:bookmarkEnd w:id="20"/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и т.п.); </w:t>
            </w:r>
            <w:bookmarkStart w:id="21" w:name="bssPhr43"/>
            <w:bookmarkStart w:id="22" w:name="ZAP25B63EL"/>
            <w:bookmarkStart w:id="23" w:name="XA00MB82NE"/>
            <w:bookmarkEnd w:id="21"/>
            <w:bookmarkEnd w:id="22"/>
            <w:bookmarkEnd w:id="23"/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3" w:hanging="425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22.  - Организация управления при аварии на объекте</w:t>
            </w:r>
            <w:bookmarkStart w:id="24" w:name="bssPhr46"/>
            <w:bookmarkStart w:id="25" w:name="ZAP1SK83DV"/>
            <w:bookmarkStart w:id="26" w:name="XA00M7U2MN"/>
            <w:bookmarkStart w:id="27" w:name="bssPhr45"/>
            <w:bookmarkStart w:id="28" w:name="ZAP1OP639A"/>
            <w:bookmarkStart w:id="29" w:name="XA00M7C2MK"/>
            <w:bookmarkStart w:id="30" w:name="bssPhr44"/>
            <w:bookmarkStart w:id="31" w:name="ZAP20MQ3GJ"/>
            <w:bookmarkStart w:id="32" w:name="XA00M6Q2MH"/>
            <w:bookmarkStart w:id="33" w:name="ZAP1R883F2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. Действия производственного персонала и аварийно-спасательных служб по локализации и ликвидации аварийных ситуаций (Инструкции);</w:t>
            </w:r>
            <w:bookmarkStart w:id="34" w:name="bssPhr47"/>
            <w:bookmarkStart w:id="35" w:name="ZAP23FM3E8"/>
            <w:bookmarkStart w:id="36" w:name="XA00M8G2MQ"/>
            <w:bookmarkStart w:id="37" w:name="ZAP1U143CN"/>
            <w:bookmarkEnd w:id="34"/>
            <w:bookmarkEnd w:id="35"/>
            <w:bookmarkEnd w:id="36"/>
            <w:bookmarkEnd w:id="37"/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3" w:hanging="425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23</w:t>
            </w: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>.  - Паспорт безопасности.</w:t>
            </w:r>
          </w:p>
        </w:tc>
      </w:tr>
      <w:tr w:rsidR="009C7C47" w:rsidRPr="009C7C47" w:rsidTr="009C7C47">
        <w:trPr>
          <w:trHeight w:val="5801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6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13.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6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Технические требования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right="19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Разработка ПЛАРН должна включать следующий объем работ: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  описание географической и навигационно-гидрологической характеристики, а также гидрометеорологических и экологических особенностей территории.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разработка необходимых мероприятий по предупреждению ЧС(Н), с учетом организаций, осуществляющих операции с нефтью и нефтепродуктов, и особенностей географического положения и климатических условий на территории регионов.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прогнозирование объемов и площадей разливов нефти и нефтепродуктов.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указание границ зон ЧС(Н) с учетом результатов оценки риска разливов нефти и нефтепродуктов, с нанесением соответствующих данных на карту.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подготовка ситуационных моделей наиболее опасных ЧС(П) и их социальноэкономических последствий для населения и окружающей среды прилегающих территорий.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определение необходимого и достаточного состава сил и средств ЛЧС(Н), а также подразделений пожарной охраны, на случай возгорания нефти и нефтепродуктов, с учетом их дислокации.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осуществление мероприятий по предотвращению ЧС(П), с привлечением органов исполнительной власти федеральных органов исполнительной власти, учреждений и организаций, осуществляющих операции с нефтью и нефтепродуктами.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указание уровней реагирования.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определение аттестованных АСФ(Н) и подразделений пожарной охраны на территории региона, с указанием мест дислокации.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выработка предложений по организации управления, системы связи и оповещения (в виде схемы).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выработка предложений первоочередных действий при ЧС(Н).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выработка предложений по оповещению о чрезвычайной ситуации, с указанием каналов, линий связи и организаций, их предоставляющих (схема).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выработка способов и методов мониторинга обстановки и окружающей среды, с учетом данных центра мониторинга и прогнозирования чрезвычайных ситуаций природного и техногенного характера. организация мониторинга обстановки и окружающей среды, порядок уточнения обстановки в зоне ЧС(Н).</w:t>
            </w:r>
          </w:p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spacing w:after="3"/>
              <w:ind w:right="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- выработка предложений по ликвидации загрязнения территорий.</w:t>
            </w:r>
          </w:p>
        </w:tc>
      </w:tr>
      <w:tr w:rsidR="009C7C47" w:rsidRPr="009C7C47" w:rsidTr="009C7C4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Форма предоставления результатов услуг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widowControl w:val="0"/>
              <w:numPr>
                <w:ilvl w:val="1"/>
                <w:numId w:val="19"/>
              </w:numPr>
              <w:tabs>
                <w:tab w:val="clear" w:pos="1134"/>
                <w:tab w:val="left" w:pos="601"/>
              </w:tabs>
              <w:kinsoku/>
              <w:overflowPunct/>
              <w:autoSpaceDE/>
              <w:autoSpaceDN/>
              <w:adjustRightInd w:val="0"/>
              <w:spacing w:before="60" w:after="200" w:line="276" w:lineRule="auto"/>
              <w:ind w:left="34" w:firstLine="0"/>
              <w:jc w:val="left"/>
              <w:rPr>
                <w:rFonts w:eastAsia="Calibri"/>
                <w:color w:val="000000"/>
                <w:spacing w:val="-5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>В сроки, установленные Договором, Исполнитель передает Заказчику на бумажном носителе оригинал переработанного и согласованного в установленном порядке ПЛАРН (2 экз.)</w:t>
            </w:r>
            <w:r w:rsidRPr="009C7C47">
              <w:rPr>
                <w:sz w:val="20"/>
                <w:szCs w:val="20"/>
              </w:rPr>
              <w:t xml:space="preserve"> и </w:t>
            </w:r>
            <w:r w:rsidRPr="009C7C47">
              <w:rPr>
                <w:rFonts w:eastAsia="Calibri"/>
                <w:color w:val="000000"/>
                <w:spacing w:val="-5"/>
                <w:sz w:val="20"/>
                <w:szCs w:val="20"/>
                <w:lang w:eastAsia="en-US"/>
              </w:rPr>
              <w:t xml:space="preserve">1 экз. в электронном виде – должны быть записаны на USB флэш носителе в виде формата документов MS Word, </w:t>
            </w:r>
            <w:r w:rsidRPr="009C7C47">
              <w:rPr>
                <w:rFonts w:eastAsia="Calibri"/>
                <w:color w:val="000000"/>
                <w:spacing w:val="-5"/>
                <w:sz w:val="20"/>
                <w:szCs w:val="20"/>
                <w:lang w:val="en-US" w:eastAsia="en-US"/>
              </w:rPr>
              <w:t>PDF</w:t>
            </w:r>
            <w:r w:rsidRPr="009C7C47">
              <w:rPr>
                <w:rFonts w:eastAsia="Calibri"/>
                <w:color w:val="000000"/>
                <w:spacing w:val="-5"/>
                <w:sz w:val="20"/>
                <w:szCs w:val="20"/>
                <w:lang w:eastAsia="en-US"/>
              </w:rPr>
              <w:t>;</w:t>
            </w:r>
          </w:p>
          <w:p w:rsidR="009C7C47" w:rsidRPr="009C7C47" w:rsidRDefault="009C7C47" w:rsidP="009C7C4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color w:val="000000"/>
                <w:spacing w:val="-5"/>
                <w:sz w:val="20"/>
                <w:szCs w:val="20"/>
                <w:lang w:eastAsia="en-US"/>
              </w:rPr>
              <w:t>Согласующим органам – 1 экз. на бумажном носителе и 1 экз. в электронном виде должны быть записаны на USB флэш носителе.</w:t>
            </w:r>
          </w:p>
        </w:tc>
      </w:tr>
      <w:tr w:rsidR="009C7C47" w:rsidRPr="009C7C47" w:rsidTr="009C7C4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pacing w:val="-4"/>
                <w:sz w:val="20"/>
                <w:szCs w:val="20"/>
                <w:lang w:eastAsia="en-US"/>
              </w:rPr>
              <w:t>Требования к сметной документации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C7C47">
              <w:rPr>
                <w:sz w:val="20"/>
                <w:szCs w:val="20"/>
                <w:lang w:eastAsia="en-US"/>
              </w:rPr>
              <w:t>- Предоставить подробную калькуляцию в произвольной форме на весь комплекс работ</w:t>
            </w:r>
          </w:p>
        </w:tc>
      </w:tr>
      <w:tr w:rsidR="009C7C47" w:rsidRPr="009C7C47" w:rsidTr="009C7C47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b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47" w:rsidRPr="009C7C47" w:rsidRDefault="009C7C47" w:rsidP="009C7C47">
            <w:pPr>
              <w:tabs>
                <w:tab w:val="clear" w:pos="1134"/>
              </w:tabs>
              <w:kinsoku/>
              <w:overflowPunct/>
              <w:ind w:firstLine="0"/>
              <w:jc w:val="left"/>
              <w:rPr>
                <w:rFonts w:eastAsia="Calibri"/>
                <w:color w:val="2B4279"/>
                <w:sz w:val="20"/>
                <w:szCs w:val="20"/>
                <w:lang w:eastAsia="en-US"/>
              </w:rPr>
            </w:pP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- Согласовать план по предупреждению и ликвидации разливов нефтепродуктов на ОПО ЗАО «ТСЗ» </w:t>
            </w:r>
            <w:r w:rsidRPr="009C7C47">
              <w:rPr>
                <w:rFonts w:eastAsia="Calibri" w:cs="Arial"/>
                <w:sz w:val="20"/>
                <w:szCs w:val="20"/>
                <w:lang w:eastAsia="en-US"/>
              </w:rPr>
              <w:t>в   ГУ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C7C47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МЧС г. Москва, в администрации г. Москва, в Министерстве природных ресурсов, в </w:t>
            </w:r>
            <w:r w:rsidRPr="009C7C47">
              <w:rPr>
                <w:rFonts w:eastAsia="Calibri"/>
                <w:sz w:val="20"/>
                <w:szCs w:val="20"/>
                <w:lang w:eastAsia="en-US"/>
              </w:rPr>
              <w:t>Министерстве энергетики РФ</w:t>
            </w:r>
            <w:r w:rsidRPr="009C7C47">
              <w:rPr>
                <w:rFonts w:eastAsia="Calibri"/>
                <w:color w:val="2B4279"/>
                <w:sz w:val="20"/>
                <w:szCs w:val="20"/>
                <w:lang w:eastAsia="en-US"/>
              </w:rPr>
              <w:t>.</w:t>
            </w:r>
          </w:p>
        </w:tc>
      </w:tr>
    </w:tbl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9C7C47" w:rsidRDefault="009C7C47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9C7C47" w:rsidRPr="009C7C47" w:rsidRDefault="009C7C47" w:rsidP="009C7C47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9C7C47" w:rsidRPr="009C7C47" w:rsidRDefault="009C7C47" w:rsidP="009C7C47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Cs w:val="24"/>
          <w:lang w:eastAsia="en-US"/>
        </w:rPr>
      </w:pPr>
      <w:r w:rsidRPr="009C7C47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</w:t>
      </w:r>
      <w:r w:rsidRPr="009C7C47">
        <w:rPr>
          <w:rFonts w:eastAsia="Calibri"/>
          <w:b/>
          <w:szCs w:val="24"/>
          <w:lang w:eastAsia="en-US"/>
        </w:rPr>
        <w:t>Приложение №1</w:t>
      </w:r>
    </w:p>
    <w:p w:rsidR="009C7C47" w:rsidRPr="009C7C47" w:rsidRDefault="009C7C47" w:rsidP="009C7C4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szCs w:val="24"/>
          <w:lang w:eastAsia="en-US"/>
        </w:rPr>
      </w:pPr>
      <w:r w:rsidRPr="009C7C47">
        <w:rPr>
          <w:rFonts w:eastAsia="Calibri"/>
          <w:szCs w:val="24"/>
          <w:lang w:eastAsia="en-US"/>
        </w:rPr>
        <w:t xml:space="preserve"> </w:t>
      </w:r>
    </w:p>
    <w:p w:rsidR="009C7C47" w:rsidRPr="009C7C47" w:rsidRDefault="009C7C47" w:rsidP="009C7C47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36"/>
          <w:szCs w:val="36"/>
          <w:lang w:eastAsia="en-US"/>
        </w:rPr>
      </w:pPr>
      <w:r w:rsidRPr="009C7C47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C7C47">
        <w:rPr>
          <w:rFonts w:eastAsia="Calibri"/>
          <w:b/>
          <w:sz w:val="36"/>
          <w:szCs w:val="36"/>
          <w:lang w:eastAsia="en-US"/>
        </w:rPr>
        <w:t xml:space="preserve">                                   </w:t>
      </w:r>
    </w:p>
    <w:p w:rsidR="009C7C47" w:rsidRPr="009C7C47" w:rsidRDefault="009C7C47" w:rsidP="009C7C47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36"/>
          <w:szCs w:val="36"/>
          <w:lang w:eastAsia="en-US"/>
        </w:rPr>
      </w:pPr>
      <w:bookmarkStart w:id="38" w:name="_GoBack"/>
      <w:bookmarkEnd w:id="38"/>
    </w:p>
    <w:p w:rsidR="009C7C47" w:rsidRPr="009C7C47" w:rsidRDefault="009C7C47" w:rsidP="009C7C47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Cs w:val="24"/>
          <w:lang w:eastAsia="en-US"/>
        </w:rPr>
      </w:pPr>
      <w:r w:rsidRPr="009C7C47">
        <w:rPr>
          <w:rFonts w:eastAsia="Calibri"/>
          <w:b/>
          <w:sz w:val="36"/>
          <w:szCs w:val="36"/>
          <w:lang w:eastAsia="en-US"/>
        </w:rPr>
        <w:t xml:space="preserve">                                     </w:t>
      </w:r>
      <w:r w:rsidRPr="009C7C47">
        <w:rPr>
          <w:rFonts w:eastAsia="Calibri"/>
          <w:b/>
          <w:szCs w:val="24"/>
          <w:lang w:eastAsia="en-US"/>
        </w:rPr>
        <w:t xml:space="preserve">Г Л О </w:t>
      </w:r>
      <w:r w:rsidRPr="009C7C47">
        <w:rPr>
          <w:rFonts w:eastAsia="Calibri"/>
          <w:b/>
          <w:szCs w:val="24"/>
          <w:lang w:eastAsia="en-US"/>
        </w:rPr>
        <w:t xml:space="preserve">С </w:t>
      </w:r>
      <w:r w:rsidRPr="009C7C47">
        <w:rPr>
          <w:rFonts w:eastAsia="Calibri"/>
          <w:b/>
          <w:szCs w:val="24"/>
          <w:lang w:eastAsia="en-US"/>
        </w:rPr>
        <w:t>С А Р И Й</w:t>
      </w:r>
    </w:p>
    <w:p w:rsidR="009C7C47" w:rsidRPr="009C7C47" w:rsidRDefault="009C7C47" w:rsidP="009C7C47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36"/>
          <w:szCs w:val="36"/>
          <w:lang w:eastAsia="en-US"/>
        </w:rPr>
      </w:pPr>
    </w:p>
    <w:p w:rsidR="009C7C47" w:rsidRPr="009C7C47" w:rsidRDefault="009C7C47" w:rsidP="009C7C47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РФ-              </w:t>
      </w:r>
      <w:r w:rsidRPr="009C7C47">
        <w:rPr>
          <w:rFonts w:eastAsia="Calibri"/>
          <w:sz w:val="20"/>
          <w:szCs w:val="20"/>
          <w:lang w:eastAsia="en-US"/>
        </w:rPr>
        <w:t>Российская Федерация</w:t>
      </w:r>
    </w:p>
    <w:p w:rsidR="009C7C47" w:rsidRPr="009C7C47" w:rsidRDefault="009C7C47" w:rsidP="009C7C47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ФЗ-              </w:t>
      </w:r>
      <w:r w:rsidRPr="009C7C47">
        <w:rPr>
          <w:rFonts w:eastAsia="Calibri"/>
          <w:sz w:val="20"/>
          <w:szCs w:val="20"/>
          <w:lang w:eastAsia="en-US"/>
        </w:rPr>
        <w:t>Федеральный Закон</w:t>
      </w:r>
    </w:p>
    <w:p w:rsidR="009C7C47" w:rsidRPr="009C7C47" w:rsidRDefault="009C7C47" w:rsidP="009C7C47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>МЧС</w:t>
      </w:r>
      <w:r w:rsidRPr="009C7C47">
        <w:rPr>
          <w:rFonts w:eastAsia="Calibri"/>
          <w:sz w:val="20"/>
          <w:szCs w:val="20"/>
          <w:lang w:eastAsia="en-US"/>
        </w:rPr>
        <w:t>-</w:t>
      </w:r>
      <w:r w:rsidRPr="009C7C47">
        <w:rPr>
          <w:rFonts w:eastAsia="Calibri"/>
          <w:b/>
          <w:sz w:val="20"/>
          <w:szCs w:val="20"/>
          <w:lang w:eastAsia="en-US"/>
        </w:rPr>
        <w:t xml:space="preserve">            </w:t>
      </w:r>
      <w:r w:rsidRPr="009C7C47">
        <w:rPr>
          <w:rFonts w:eastAsia="Calibri"/>
          <w:sz w:val="20"/>
          <w:szCs w:val="20"/>
          <w:lang w:eastAsia="en-US"/>
        </w:rPr>
        <w:t xml:space="preserve"> Министерство по чрезвычайным ситуациям</w:t>
      </w: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color w:val="000000"/>
          <w:sz w:val="20"/>
          <w:szCs w:val="20"/>
          <w:shd w:val="clear" w:color="auto" w:fill="FFFFFF"/>
          <w:lang w:eastAsia="en-US"/>
        </w:rPr>
      </w:pPr>
      <w:r w:rsidRPr="009C7C47">
        <w:rPr>
          <w:b/>
          <w:bCs/>
          <w:color w:val="000000"/>
          <w:sz w:val="20"/>
          <w:szCs w:val="20"/>
          <w:shd w:val="clear" w:color="auto" w:fill="FFFFFF"/>
          <w:lang w:bidi="ru-RU"/>
        </w:rPr>
        <w:t xml:space="preserve">АСФ(Н)-        </w:t>
      </w:r>
      <w:r w:rsidRPr="009C7C47">
        <w:rPr>
          <w:sz w:val="20"/>
          <w:szCs w:val="20"/>
          <w:shd w:val="clear" w:color="auto" w:fill="FFFFFF"/>
          <w:lang w:eastAsia="en-US"/>
        </w:rPr>
        <w:t>А</w:t>
      </w:r>
      <w:r w:rsidRPr="009C7C47">
        <w:rPr>
          <w:color w:val="000000"/>
          <w:sz w:val="20"/>
          <w:szCs w:val="20"/>
          <w:shd w:val="clear" w:color="auto" w:fill="FFFFFF"/>
          <w:lang w:eastAsia="en-US"/>
        </w:rPr>
        <w:t>варийно-спасательное формирование</w:t>
      </w: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color w:val="000000"/>
          <w:sz w:val="20"/>
          <w:szCs w:val="20"/>
          <w:shd w:val="clear" w:color="auto" w:fill="FFFFFF"/>
          <w:lang w:eastAsia="en-US"/>
        </w:rPr>
      </w:pP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sz w:val="20"/>
          <w:szCs w:val="20"/>
          <w:lang w:eastAsia="en-US"/>
        </w:rPr>
      </w:pPr>
      <w:r w:rsidRPr="009C7C47">
        <w:rPr>
          <w:b/>
          <w:bCs/>
          <w:color w:val="000000"/>
          <w:sz w:val="20"/>
          <w:szCs w:val="20"/>
          <w:shd w:val="clear" w:color="auto" w:fill="FFFFFF"/>
          <w:lang w:bidi="ru-RU"/>
        </w:rPr>
        <w:t xml:space="preserve">ЛЧС(Н)-   </w:t>
      </w:r>
      <w:r w:rsidRPr="009C7C47">
        <w:rPr>
          <w:sz w:val="20"/>
          <w:szCs w:val="20"/>
          <w:shd w:val="clear" w:color="auto" w:fill="FFFFFF"/>
          <w:lang w:eastAsia="en-US"/>
        </w:rPr>
        <w:t xml:space="preserve">  </w:t>
      </w:r>
      <w:r w:rsidRPr="009C7C47">
        <w:rPr>
          <w:color w:val="000000"/>
          <w:sz w:val="20"/>
          <w:szCs w:val="20"/>
          <w:shd w:val="clear" w:color="auto" w:fill="FFFFFF"/>
          <w:lang w:eastAsia="en-US"/>
        </w:rPr>
        <w:t xml:space="preserve">        Ликвидации чрезвычайных ситуаций и разливами нефти и нефтепродуктов</w:t>
      </w: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b/>
          <w:color w:val="000000"/>
          <w:sz w:val="20"/>
          <w:szCs w:val="20"/>
          <w:shd w:val="clear" w:color="auto" w:fill="FFFFFF"/>
          <w:lang w:eastAsia="en-US"/>
        </w:rPr>
      </w:pP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color w:val="000000"/>
          <w:sz w:val="20"/>
          <w:szCs w:val="20"/>
          <w:shd w:val="clear" w:color="auto" w:fill="FFFFFF"/>
          <w:lang w:eastAsia="en-US"/>
        </w:rPr>
      </w:pPr>
      <w:r w:rsidRPr="009C7C47">
        <w:rPr>
          <w:b/>
          <w:color w:val="000000"/>
          <w:sz w:val="20"/>
          <w:szCs w:val="20"/>
          <w:shd w:val="clear" w:color="auto" w:fill="FFFFFF"/>
          <w:lang w:eastAsia="en-US"/>
        </w:rPr>
        <w:t xml:space="preserve">НПБ-              </w:t>
      </w:r>
      <w:r w:rsidRPr="009C7C47">
        <w:rPr>
          <w:color w:val="000000"/>
          <w:sz w:val="20"/>
          <w:szCs w:val="20"/>
          <w:shd w:val="clear" w:color="auto" w:fill="FFFFFF"/>
          <w:lang w:eastAsia="en-US"/>
        </w:rPr>
        <w:t>нормы пожарной безопасности</w:t>
      </w: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sz w:val="20"/>
          <w:szCs w:val="20"/>
          <w:lang w:eastAsia="en-US"/>
        </w:rPr>
      </w:pP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sz w:val="20"/>
          <w:szCs w:val="20"/>
          <w:lang w:eastAsia="en-US"/>
        </w:rPr>
      </w:pPr>
      <w:r w:rsidRPr="009C7C47">
        <w:rPr>
          <w:b/>
          <w:sz w:val="20"/>
          <w:szCs w:val="20"/>
          <w:lang w:eastAsia="en-US"/>
        </w:rPr>
        <w:t>ОПО</w:t>
      </w:r>
      <w:r w:rsidRPr="009C7C47">
        <w:rPr>
          <w:color w:val="000000"/>
          <w:sz w:val="20"/>
          <w:szCs w:val="20"/>
          <w:shd w:val="clear" w:color="auto" w:fill="FFFFFF"/>
          <w:lang w:eastAsia="en-US"/>
        </w:rPr>
        <w:t>-                     Опасный производственный объект</w:t>
      </w: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b/>
          <w:iCs/>
          <w:color w:val="000000"/>
          <w:sz w:val="20"/>
          <w:szCs w:val="20"/>
          <w:shd w:val="clear" w:color="auto" w:fill="FFFFFF"/>
          <w:lang w:eastAsia="en-US"/>
        </w:rPr>
      </w:pP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sz w:val="20"/>
          <w:szCs w:val="20"/>
          <w:lang w:eastAsia="en-US"/>
        </w:rPr>
      </w:pPr>
      <w:r w:rsidRPr="009C7C47">
        <w:rPr>
          <w:b/>
          <w:bCs/>
          <w:iCs/>
          <w:color w:val="000000"/>
          <w:sz w:val="20"/>
          <w:szCs w:val="20"/>
          <w:shd w:val="clear" w:color="auto" w:fill="FFFFFF"/>
          <w:lang w:eastAsia="en-US"/>
        </w:rPr>
        <w:t>РСЧС-</w:t>
      </w:r>
      <w:r w:rsidRPr="009C7C47">
        <w:rPr>
          <w:b/>
          <w:bCs/>
          <w:i/>
          <w:iCs/>
          <w:color w:val="000000"/>
          <w:sz w:val="20"/>
          <w:szCs w:val="20"/>
          <w:shd w:val="clear" w:color="auto" w:fill="FFFFFF"/>
          <w:lang w:eastAsia="en-US"/>
        </w:rPr>
        <w:t xml:space="preserve">                  </w:t>
      </w:r>
      <w:r w:rsidRPr="009C7C47">
        <w:rPr>
          <w:b/>
          <w:bCs/>
          <w:iCs/>
          <w:color w:val="000000"/>
          <w:sz w:val="20"/>
          <w:szCs w:val="20"/>
          <w:shd w:val="clear" w:color="auto" w:fill="FFFFFF"/>
          <w:lang w:eastAsia="en-US"/>
        </w:rPr>
        <w:t>Е</w:t>
      </w:r>
      <w:r w:rsidRPr="009C7C47">
        <w:rPr>
          <w:b/>
          <w:bCs/>
          <w:i/>
          <w:iCs/>
          <w:color w:val="000000"/>
          <w:sz w:val="20"/>
          <w:szCs w:val="20"/>
          <w:shd w:val="clear" w:color="auto" w:fill="FFFFFF"/>
          <w:lang w:eastAsia="en-US"/>
        </w:rPr>
        <w:t>диная государственная система предупреждения и ликвидации чрезвычайных</w:t>
      </w:r>
    </w:p>
    <w:p w:rsidR="009C7C47" w:rsidRPr="009C7C47" w:rsidRDefault="009C7C47" w:rsidP="009C7C47">
      <w:pPr>
        <w:widowControl w:val="0"/>
        <w:tabs>
          <w:tab w:val="clear" w:pos="1134"/>
        </w:tabs>
        <w:kinsoku/>
        <w:overflowPunct/>
        <w:autoSpaceDE/>
        <w:autoSpaceDN/>
        <w:spacing w:line="317" w:lineRule="exact"/>
        <w:ind w:firstLine="0"/>
        <w:rPr>
          <w:sz w:val="20"/>
          <w:szCs w:val="20"/>
          <w:lang w:eastAsia="en-US"/>
        </w:rPr>
      </w:pPr>
      <w:r w:rsidRPr="009C7C47">
        <w:rPr>
          <w:b/>
          <w:bCs/>
          <w:i/>
          <w:iCs/>
          <w:color w:val="000000"/>
          <w:sz w:val="20"/>
          <w:szCs w:val="20"/>
          <w:shd w:val="clear" w:color="auto" w:fill="FFFFFF"/>
          <w:lang w:eastAsia="en-US"/>
        </w:rPr>
        <w:t>ситуаций</w:t>
      </w:r>
    </w:p>
    <w:p w:rsidR="009C7C47" w:rsidRPr="009C7C47" w:rsidRDefault="009C7C47" w:rsidP="009C7C47">
      <w:pPr>
        <w:tabs>
          <w:tab w:val="clear" w:pos="1134"/>
          <w:tab w:val="left" w:pos="2552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color w:val="333333"/>
          <w:sz w:val="20"/>
          <w:szCs w:val="20"/>
          <w:shd w:val="clear" w:color="auto" w:fill="FFFFFF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ГК РФ-         </w:t>
      </w:r>
      <w:r w:rsidRPr="009C7C47">
        <w:rPr>
          <w:rFonts w:eastAsia="Calibri"/>
          <w:bCs/>
          <w:color w:val="333333"/>
          <w:sz w:val="20"/>
          <w:szCs w:val="20"/>
          <w:lang w:eastAsia="en-US"/>
        </w:rPr>
        <w:t>Градостроительный Кодекс</w:t>
      </w:r>
      <w:r w:rsidRPr="009C7C47">
        <w:rPr>
          <w:rFonts w:eastAsia="Calibri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9C7C47">
        <w:rPr>
          <w:rFonts w:eastAsia="Calibri"/>
          <w:bCs/>
          <w:color w:val="333333"/>
          <w:sz w:val="20"/>
          <w:szCs w:val="20"/>
          <w:lang w:eastAsia="en-US"/>
        </w:rPr>
        <w:t>Российской</w:t>
      </w:r>
      <w:r w:rsidRPr="009C7C47">
        <w:rPr>
          <w:rFonts w:eastAsia="Calibri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9C7C47">
        <w:rPr>
          <w:rFonts w:eastAsia="Calibri"/>
          <w:bCs/>
          <w:color w:val="333333"/>
          <w:sz w:val="20"/>
          <w:szCs w:val="20"/>
          <w:lang w:eastAsia="en-US"/>
        </w:rPr>
        <w:t>Федерации</w:t>
      </w:r>
    </w:p>
    <w:p w:rsidR="009C7C47" w:rsidRPr="009C7C47" w:rsidRDefault="009C7C47" w:rsidP="009C7C47">
      <w:pPr>
        <w:tabs>
          <w:tab w:val="clear" w:pos="1134"/>
          <w:tab w:val="left" w:pos="2552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ГСМ-            </w:t>
      </w:r>
      <w:r w:rsidRPr="009C7C47">
        <w:rPr>
          <w:rFonts w:eastAsia="Calibri"/>
          <w:sz w:val="20"/>
          <w:szCs w:val="20"/>
          <w:lang w:eastAsia="en-US"/>
        </w:rPr>
        <w:t>Горючи смазочные материалы</w:t>
      </w:r>
    </w:p>
    <w:p w:rsidR="009C7C47" w:rsidRPr="009C7C47" w:rsidRDefault="009C7C47" w:rsidP="009C7C47">
      <w:pPr>
        <w:tabs>
          <w:tab w:val="clear" w:pos="1134"/>
          <w:tab w:val="left" w:pos="2552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ППН-            </w:t>
      </w:r>
      <w:r w:rsidRPr="009C7C47">
        <w:rPr>
          <w:rFonts w:eastAsia="Calibri"/>
          <w:sz w:val="20"/>
          <w:szCs w:val="20"/>
          <w:lang w:eastAsia="en-US"/>
        </w:rPr>
        <w:t>Пункт предперронного налива</w:t>
      </w:r>
    </w:p>
    <w:p w:rsidR="009C7C47" w:rsidRPr="009C7C47" w:rsidRDefault="009C7C47" w:rsidP="009C7C47">
      <w:pPr>
        <w:tabs>
          <w:tab w:val="clear" w:pos="1134"/>
          <w:tab w:val="left" w:pos="2552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>РП</w:t>
      </w:r>
      <w:r w:rsidRPr="009C7C47">
        <w:rPr>
          <w:rFonts w:eastAsia="Calibri"/>
          <w:sz w:val="20"/>
          <w:szCs w:val="20"/>
          <w:lang w:eastAsia="en-US"/>
        </w:rPr>
        <w:t>-                Раздаточный пункт</w:t>
      </w:r>
    </w:p>
    <w:p w:rsidR="009C7C47" w:rsidRPr="009C7C47" w:rsidRDefault="009C7C47" w:rsidP="009C7C47">
      <w:pPr>
        <w:tabs>
          <w:tab w:val="clear" w:pos="1134"/>
          <w:tab w:val="left" w:pos="2552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ОТ-                </w:t>
      </w:r>
      <w:r w:rsidRPr="009C7C47">
        <w:rPr>
          <w:rFonts w:eastAsia="Calibri"/>
          <w:sz w:val="20"/>
          <w:szCs w:val="20"/>
          <w:lang w:eastAsia="en-US"/>
        </w:rPr>
        <w:t>Охрана труда</w:t>
      </w:r>
    </w:p>
    <w:p w:rsidR="009C7C47" w:rsidRPr="009C7C47" w:rsidRDefault="009C7C47" w:rsidP="009C7C47">
      <w:pPr>
        <w:tabs>
          <w:tab w:val="clear" w:pos="1134"/>
          <w:tab w:val="left" w:pos="2552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ПБ-                </w:t>
      </w:r>
      <w:r w:rsidRPr="009C7C47">
        <w:rPr>
          <w:rFonts w:eastAsia="Calibri"/>
          <w:sz w:val="20"/>
          <w:szCs w:val="20"/>
          <w:lang w:eastAsia="en-US"/>
        </w:rPr>
        <w:t>Пожарная безопасность</w:t>
      </w:r>
    </w:p>
    <w:p w:rsidR="009C7C47" w:rsidRPr="009C7C47" w:rsidRDefault="009C7C47" w:rsidP="009C7C47">
      <w:pPr>
        <w:tabs>
          <w:tab w:val="clear" w:pos="1134"/>
          <w:tab w:val="left" w:pos="2552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ООС-             </w:t>
      </w:r>
      <w:r w:rsidRPr="009C7C47">
        <w:rPr>
          <w:rFonts w:eastAsia="Calibri"/>
          <w:sz w:val="20"/>
          <w:szCs w:val="20"/>
          <w:lang w:eastAsia="en-US"/>
        </w:rPr>
        <w:t>Охрана окружающей среды</w:t>
      </w:r>
    </w:p>
    <w:p w:rsidR="009C7C47" w:rsidRPr="009C7C47" w:rsidRDefault="009C7C47" w:rsidP="009C7C47">
      <w:pPr>
        <w:tabs>
          <w:tab w:val="clear" w:pos="1134"/>
          <w:tab w:val="left" w:pos="2552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color w:val="000000"/>
          <w:sz w:val="20"/>
          <w:szCs w:val="20"/>
          <w:shd w:val="clear" w:color="auto" w:fill="FFFFFF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БТИ-                      </w:t>
      </w:r>
      <w:r w:rsidRPr="009C7C47">
        <w:rPr>
          <w:rFonts w:eastAsia="Calibri"/>
          <w:color w:val="000000"/>
          <w:sz w:val="20"/>
          <w:szCs w:val="20"/>
          <w:shd w:val="clear" w:color="auto" w:fill="FFFFFF"/>
          <w:lang w:eastAsia="en-US"/>
        </w:rPr>
        <w:t>Бюро технической инвентаризации</w:t>
      </w:r>
    </w:p>
    <w:p w:rsidR="009C7C47" w:rsidRPr="009C7C47" w:rsidRDefault="009C7C47" w:rsidP="009C7C47">
      <w:pPr>
        <w:tabs>
          <w:tab w:val="clear" w:pos="1134"/>
          <w:tab w:val="left" w:pos="2552"/>
          <w:tab w:val="left" w:pos="3285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color w:val="000000"/>
          <w:sz w:val="20"/>
          <w:szCs w:val="20"/>
          <w:shd w:val="clear" w:color="auto" w:fill="FFFFFF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ЭПБ-              </w:t>
      </w:r>
      <w:r w:rsidRPr="009C7C47">
        <w:rPr>
          <w:rFonts w:eastAsia="Calibri"/>
          <w:sz w:val="20"/>
          <w:szCs w:val="20"/>
          <w:lang w:eastAsia="en-US"/>
        </w:rPr>
        <w:t>Экспертиза промышленной безопасности</w:t>
      </w:r>
    </w:p>
    <w:p w:rsidR="009C7C47" w:rsidRPr="009C7C47" w:rsidRDefault="009C7C47" w:rsidP="009C7C47">
      <w:pPr>
        <w:tabs>
          <w:tab w:val="clear" w:pos="1134"/>
          <w:tab w:val="left" w:pos="3119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9C7C47">
        <w:rPr>
          <w:rFonts w:eastAsia="Calibri"/>
          <w:b/>
          <w:sz w:val="20"/>
          <w:szCs w:val="20"/>
          <w:lang w:eastAsia="en-US"/>
        </w:rPr>
        <w:t xml:space="preserve">НТД-              </w:t>
      </w:r>
      <w:r w:rsidRPr="009C7C47">
        <w:rPr>
          <w:rFonts w:eastAsia="Calibri"/>
          <w:sz w:val="20"/>
          <w:szCs w:val="20"/>
          <w:lang w:eastAsia="en-US"/>
        </w:rPr>
        <w:t>Н</w:t>
      </w:r>
      <w:r w:rsidRPr="009C7C47">
        <w:rPr>
          <w:rFonts w:eastAsia="Calibri"/>
          <w:bCs/>
          <w:color w:val="333333"/>
          <w:sz w:val="20"/>
          <w:szCs w:val="20"/>
          <w:lang w:eastAsia="en-US"/>
        </w:rPr>
        <w:t>ормативно</w:t>
      </w:r>
      <w:r w:rsidRPr="009C7C47">
        <w:rPr>
          <w:rFonts w:eastAsia="Calibri"/>
          <w:color w:val="333333"/>
          <w:sz w:val="20"/>
          <w:szCs w:val="20"/>
          <w:shd w:val="clear" w:color="auto" w:fill="FFFFFF"/>
          <w:lang w:eastAsia="en-US"/>
        </w:rPr>
        <w:t>-</w:t>
      </w:r>
      <w:r w:rsidRPr="009C7C47">
        <w:rPr>
          <w:rFonts w:eastAsia="Calibri"/>
          <w:bCs/>
          <w:color w:val="333333"/>
          <w:sz w:val="20"/>
          <w:szCs w:val="20"/>
          <w:lang w:eastAsia="en-US"/>
        </w:rPr>
        <w:t>техническая</w:t>
      </w:r>
      <w:r w:rsidRPr="009C7C47">
        <w:rPr>
          <w:rFonts w:eastAsia="Calibri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9C7C47">
        <w:rPr>
          <w:rFonts w:eastAsia="Calibri"/>
          <w:bCs/>
          <w:color w:val="333333"/>
          <w:sz w:val="20"/>
          <w:szCs w:val="20"/>
          <w:lang w:eastAsia="en-US"/>
        </w:rPr>
        <w:t>документация</w:t>
      </w:r>
    </w:p>
    <w:p w:rsidR="009768AE" w:rsidRPr="00517339" w:rsidRDefault="009768AE" w:rsidP="002A60AA">
      <w:pPr>
        <w:pStyle w:val="a3"/>
        <w:spacing w:before="80" w:after="80"/>
        <w:rPr>
          <w:sz w:val="22"/>
          <w:szCs w:val="22"/>
        </w:rPr>
      </w:pPr>
    </w:p>
    <w:sectPr w:rsidR="009768AE" w:rsidRPr="00517339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775" w:rsidRDefault="00611775">
      <w:r>
        <w:separator/>
      </w:r>
    </w:p>
  </w:endnote>
  <w:endnote w:type="continuationSeparator" w:id="0">
    <w:p w:rsidR="00611775" w:rsidRDefault="0061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775" w:rsidRDefault="00611775">
      <w:r>
        <w:separator/>
      </w:r>
    </w:p>
  </w:footnote>
  <w:footnote w:type="continuationSeparator" w:id="0">
    <w:p w:rsidR="00611775" w:rsidRDefault="0061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03AFB"/>
    <w:multiLevelType w:val="multilevel"/>
    <w:tmpl w:val="FB5812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color w:val="000000"/>
      </w:rPr>
    </w:lvl>
  </w:abstractNum>
  <w:abstractNum w:abstractNumId="5" w15:restartNumberingAfterBreak="0">
    <w:nsid w:val="123066E6"/>
    <w:multiLevelType w:val="hybridMultilevel"/>
    <w:tmpl w:val="47FABC52"/>
    <w:lvl w:ilvl="0" w:tplc="153AA478">
      <w:start w:val="1"/>
      <w:numFmt w:val="decimal"/>
      <w:lvlText w:val="2.%1."/>
      <w:lvlJc w:val="left"/>
      <w:pPr>
        <w:ind w:left="1571" w:hanging="360"/>
      </w:pPr>
      <w:rPr>
        <w:rFonts w:ascii="Times New Roman" w:hAnsi="Times New Roman" w:cs="Times New Roman" w:hint="default"/>
        <w:b w:val="0"/>
      </w:rPr>
    </w:lvl>
    <w:lvl w:ilvl="1" w:tplc="5358B092">
      <w:start w:val="1"/>
      <w:numFmt w:val="decimal"/>
      <w:lvlText w:val="2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46163522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C5CF7"/>
    <w:multiLevelType w:val="hybridMultilevel"/>
    <w:tmpl w:val="396E80B6"/>
    <w:lvl w:ilvl="0" w:tplc="81A89420">
      <w:start w:val="1"/>
      <w:numFmt w:val="decimal"/>
      <w:lvlText w:val="%1."/>
      <w:lvlJc w:val="left"/>
      <w:pPr>
        <w:ind w:left="393" w:hanging="360"/>
      </w:p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>
      <w:start w:val="1"/>
      <w:numFmt w:val="lowerRoman"/>
      <w:lvlText w:val="%3."/>
      <w:lvlJc w:val="right"/>
      <w:pPr>
        <w:ind w:left="1833" w:hanging="180"/>
      </w:pPr>
    </w:lvl>
    <w:lvl w:ilvl="3" w:tplc="0419000F">
      <w:start w:val="1"/>
      <w:numFmt w:val="decimal"/>
      <w:lvlText w:val="%4."/>
      <w:lvlJc w:val="left"/>
      <w:pPr>
        <w:ind w:left="2553" w:hanging="360"/>
      </w:pPr>
    </w:lvl>
    <w:lvl w:ilvl="4" w:tplc="04190019">
      <w:start w:val="1"/>
      <w:numFmt w:val="lowerLetter"/>
      <w:lvlText w:val="%5."/>
      <w:lvlJc w:val="left"/>
      <w:pPr>
        <w:ind w:left="3273" w:hanging="360"/>
      </w:pPr>
    </w:lvl>
    <w:lvl w:ilvl="5" w:tplc="0419001B">
      <w:start w:val="1"/>
      <w:numFmt w:val="lowerRoman"/>
      <w:lvlText w:val="%6."/>
      <w:lvlJc w:val="right"/>
      <w:pPr>
        <w:ind w:left="3993" w:hanging="180"/>
      </w:pPr>
    </w:lvl>
    <w:lvl w:ilvl="6" w:tplc="0419000F">
      <w:start w:val="1"/>
      <w:numFmt w:val="decimal"/>
      <w:lvlText w:val="%7."/>
      <w:lvlJc w:val="left"/>
      <w:pPr>
        <w:ind w:left="4713" w:hanging="360"/>
      </w:pPr>
    </w:lvl>
    <w:lvl w:ilvl="7" w:tplc="04190019">
      <w:start w:val="1"/>
      <w:numFmt w:val="lowerLetter"/>
      <w:lvlText w:val="%8."/>
      <w:lvlJc w:val="left"/>
      <w:pPr>
        <w:ind w:left="5433" w:hanging="360"/>
      </w:pPr>
    </w:lvl>
    <w:lvl w:ilvl="8" w:tplc="0419001B">
      <w:start w:val="1"/>
      <w:numFmt w:val="lowerRoman"/>
      <w:lvlText w:val="%9."/>
      <w:lvlJc w:val="right"/>
      <w:pPr>
        <w:ind w:left="6153" w:hanging="180"/>
      </w:pPr>
    </w:lvl>
  </w:abstractNum>
  <w:abstractNum w:abstractNumId="8" w15:restartNumberingAfterBreak="0">
    <w:nsid w:val="261821C3"/>
    <w:multiLevelType w:val="hybridMultilevel"/>
    <w:tmpl w:val="24C02A64"/>
    <w:lvl w:ilvl="0" w:tplc="7CF403F4">
      <w:start w:val="18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64EB1"/>
    <w:multiLevelType w:val="singleLevel"/>
    <w:tmpl w:val="5D564EB1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4" w15:restartNumberingAfterBreak="0">
    <w:nsid w:val="685A2029"/>
    <w:multiLevelType w:val="hybridMultilevel"/>
    <w:tmpl w:val="F5D8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6"/>
  </w:num>
  <w:num w:numId="6">
    <w:abstractNumId w:val="10"/>
  </w:num>
  <w:num w:numId="7">
    <w:abstractNumId w:val="16"/>
  </w:num>
  <w:num w:numId="8">
    <w:abstractNumId w:val="12"/>
  </w:num>
  <w:num w:numId="9">
    <w:abstractNumId w:val="3"/>
  </w:num>
  <w:num w:numId="10">
    <w:abstractNumId w:val="15"/>
  </w:num>
  <w:num w:numId="11">
    <w:abstractNumId w:val="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3966"/>
    <w:rsid w:val="00495DAA"/>
    <w:rsid w:val="004A68D3"/>
    <w:rsid w:val="004B7C15"/>
    <w:rsid w:val="004C0FEB"/>
    <w:rsid w:val="004C1A7B"/>
    <w:rsid w:val="004C7D62"/>
    <w:rsid w:val="004D0405"/>
    <w:rsid w:val="004D37A1"/>
    <w:rsid w:val="004E2714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D1900"/>
    <w:rsid w:val="008F2D53"/>
    <w:rsid w:val="009546FF"/>
    <w:rsid w:val="009768AE"/>
    <w:rsid w:val="0099006A"/>
    <w:rsid w:val="009A1E77"/>
    <w:rsid w:val="009B3815"/>
    <w:rsid w:val="009C7C47"/>
    <w:rsid w:val="009D4B2F"/>
    <w:rsid w:val="009D7B3F"/>
    <w:rsid w:val="009E0AFD"/>
    <w:rsid w:val="009F6DFB"/>
    <w:rsid w:val="00A052F9"/>
    <w:rsid w:val="00A053D0"/>
    <w:rsid w:val="00A10747"/>
    <w:rsid w:val="00A20C29"/>
    <w:rsid w:val="00A310AD"/>
    <w:rsid w:val="00A35F0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0686C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FA2E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768A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68A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b"/>
    <w:uiPriority w:val="59"/>
    <w:rsid w:val="009C7C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48</cp:revision>
  <cp:lastPrinted>2019-09-27T07:10:00Z</cp:lastPrinted>
  <dcterms:created xsi:type="dcterms:W3CDTF">2018-07-13T11:25:00Z</dcterms:created>
  <dcterms:modified xsi:type="dcterms:W3CDTF">2020-02-05T11:32:00Z</dcterms:modified>
</cp:coreProperties>
</file>